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12" w:rsidRPr="002B56A3" w:rsidRDefault="002C5212" w:rsidP="002C5212">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О выплате пенсии в случае выезда гражданина Российской Федерации в Литву.</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Пенсионное обеспечение граждан Российской Федерации, выехавших на постоянное жительство в Литву, регулируется нормами Соглашения между Правительством Российской Федерации и Правительством Литовской Республики о пенсионном обеспечении от 29 июня 1999, которое вступило в силу с 29 мая 2001. Названное Соглашение основано на территориальном принципе, в </w:t>
      </w:r>
      <w:proofErr w:type="gramStart"/>
      <w:r w:rsidRPr="002B56A3">
        <w:rPr>
          <w:rFonts w:ascii="inherit" w:eastAsia="Times New Roman" w:hAnsi="inherit" w:cs="Arial"/>
          <w:color w:val="000000"/>
          <w:sz w:val="28"/>
          <w:szCs w:val="28"/>
          <w:lang w:eastAsia="ru-RU"/>
        </w:rPr>
        <w:t>связи</w:t>
      </w:r>
      <w:proofErr w:type="gramEnd"/>
      <w:r w:rsidRPr="002B56A3">
        <w:rPr>
          <w:rFonts w:ascii="inherit" w:eastAsia="Times New Roman" w:hAnsi="inherit" w:cs="Arial"/>
          <w:color w:val="000000"/>
          <w:sz w:val="28"/>
          <w:szCs w:val="28"/>
          <w:lang w:eastAsia="ru-RU"/>
        </w:rPr>
        <w:t xml:space="preserve"> с чем пенсионное обеспечение осуществляется по законодательству и за счет государства, на территории которого лицо постоянно проживает.</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Таким образом, по общему правилу лицам, проживающим в Литве, не может выплачиваться российская пенсия. Вместе с тем из данного правила существует одно, при этом очень важное исключение. Часть третья статьи 7 Соглашения от 29 июня 1999 устанавливает, что лицам, которым на территории государства одной Стороны была назначена пенсия по основаниям, не предусмотренным законодательством государства другой Стороны, выплата пенсии производится Стороной, назначившей пенсию, до возникновения права на пенсию в соответствии с законодательством государства другой Стороны.</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Тем самым пенсионеру, выехавшему на постоянное место жительства из России в Литву, у которого не определяется по каким-либо причинам право на пенсию по литовскому законодательству, должна выплачиваться ранее назначенная российская пенсия вплоть до возникновения указанного права.</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Порядок перевода пенсий на территорию Литвы (Российской Федерации) определяется Соглашением, которое вступило в силу с 1 апреля 2011 года.</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По нормам Соглашения для продолжения выплаты российской пенсии лицу, переселившемуся на территорию Литвы, следует представить в компетентный орган Литвы следующие документы:</w:t>
      </w:r>
    </w:p>
    <w:p w:rsidR="002C5212" w:rsidRPr="002B56A3" w:rsidRDefault="002C5212" w:rsidP="002C5212">
      <w:pPr>
        <w:numPr>
          <w:ilvl w:val="0"/>
          <w:numId w:val="1"/>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 заявление о продолжении выплаты пенсии по установленному образцу;</w:t>
      </w:r>
    </w:p>
    <w:p w:rsidR="002C5212" w:rsidRPr="002B56A3" w:rsidRDefault="002C5212" w:rsidP="002C5212">
      <w:pPr>
        <w:numPr>
          <w:ilvl w:val="0"/>
          <w:numId w:val="1"/>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 документ о месте жительства на территории Литвы.</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подтверждение отсутствия права на пенсию в соответствии с законодательством Литвы компетентный орган указанного государства оформляет справку об отказе в назначении пенсии, содержащую информацию о причинах отказа и о дате возникновения права на пенсию.</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Если гражданин Российской Федерации, выехавший на постоянное место жительства в Литву, получал две пенсии, в том числе по государственному пенсионному обеспечению (например, участник Великой Отечественной войны, являющийся инвалидом), выплата второй пенсии также может быть продолжена (при условии подтверждения факта отказа в назначении </w:t>
      </w:r>
      <w:r w:rsidRPr="002B56A3">
        <w:rPr>
          <w:rFonts w:ascii="inherit" w:eastAsia="Times New Roman" w:hAnsi="inherit" w:cs="Arial"/>
          <w:color w:val="000000"/>
          <w:sz w:val="28"/>
          <w:szCs w:val="28"/>
          <w:lang w:eastAsia="ru-RU"/>
        </w:rPr>
        <w:lastRenderedPageBreak/>
        <w:t>подобной литовской пенсии). Такая возможность сохраняется даже в случае установления ему пенсии по старости по законодательству Литвы.</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Сформированный комплект документов направляется компетентным органом Литвы в Пенсионный фонд Российской Федерации.</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Перевод пенсии на территорию Литвы осуществляется Пенсионным фондом Российской Федерации ежеквартально в третьем месяце текущего квартала. Суммы российской пенсии перечисляются на счет гражданина в банке (кредитном учреждении), реквизиты которого представляются им в литовский компетентный орган.</w:t>
      </w:r>
    </w:p>
    <w:p w:rsidR="002C5212" w:rsidRPr="002B56A3" w:rsidRDefault="002C5212" w:rsidP="002C5212">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Следует отметить, что по желанию пенсионера пенсия может продолжать выплачиваться и на территории России. Для организации выплаты пенсии на территории Российской </w:t>
      </w:r>
      <w:proofErr w:type="gramStart"/>
      <w:r w:rsidRPr="002B56A3">
        <w:rPr>
          <w:rFonts w:ascii="inherit" w:eastAsia="Times New Roman" w:hAnsi="inherit" w:cs="Arial"/>
          <w:color w:val="000000"/>
          <w:sz w:val="28"/>
          <w:szCs w:val="28"/>
          <w:lang w:eastAsia="ru-RU"/>
        </w:rPr>
        <w:t>Федерации</w:t>
      </w:r>
      <w:proofErr w:type="gramEnd"/>
      <w:r w:rsidRPr="002B56A3">
        <w:rPr>
          <w:rFonts w:ascii="inherit" w:eastAsia="Times New Roman" w:hAnsi="inherit" w:cs="Arial"/>
          <w:color w:val="000000"/>
          <w:sz w:val="28"/>
          <w:szCs w:val="28"/>
          <w:lang w:eastAsia="ru-RU"/>
        </w:rPr>
        <w:t xml:space="preserve"> требуемые документы направляются в соответствующий территориальный орган ПФР. Выплата пенсии в этом случае будет </w:t>
      </w:r>
      <w:proofErr w:type="gramStart"/>
      <w:r w:rsidRPr="002B56A3">
        <w:rPr>
          <w:rFonts w:ascii="inherit" w:eastAsia="Times New Roman" w:hAnsi="inherit" w:cs="Arial"/>
          <w:color w:val="000000"/>
          <w:sz w:val="28"/>
          <w:szCs w:val="28"/>
          <w:lang w:eastAsia="ru-RU"/>
        </w:rPr>
        <w:t>производится</w:t>
      </w:r>
      <w:proofErr w:type="gramEnd"/>
      <w:r w:rsidRPr="002B56A3">
        <w:rPr>
          <w:rFonts w:ascii="inherit" w:eastAsia="Times New Roman" w:hAnsi="inherit" w:cs="Arial"/>
          <w:color w:val="000000"/>
          <w:sz w:val="28"/>
          <w:szCs w:val="28"/>
          <w:lang w:eastAsia="ru-RU"/>
        </w:rPr>
        <w:t xml:space="preserve"> в общеустановленном порядке (через организацию почтовой связи или кредитную организацию, в том числе по доверенности), но при условии ежегодного подтверждения факта нахождения в живых.</w:t>
      </w:r>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D3"/>
    <w:multiLevelType w:val="multilevel"/>
    <w:tmpl w:val="C89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5212"/>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C5212"/>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2019-03-14T05:43:00Z</dcterms:created>
  <dcterms:modified xsi:type="dcterms:W3CDTF">2019-03-14T05:43:00Z</dcterms:modified>
</cp:coreProperties>
</file>